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3C3C" w14:textId="77777777" w:rsidR="00620982" w:rsidRPr="007729D4" w:rsidRDefault="00620982" w:rsidP="00620982">
      <w:pPr>
        <w:ind w:left="-567"/>
        <w:jc w:val="center"/>
        <w:rPr>
          <w:sz w:val="20"/>
          <w:szCs w:val="20"/>
          <w:u w:val="single"/>
        </w:rPr>
      </w:pPr>
      <w:r w:rsidRPr="007729D4">
        <w:rPr>
          <w:rFonts w:ascii="Arial" w:hAnsi="Arial" w:cs="Arial"/>
          <w:b/>
          <w:bCs/>
          <w:sz w:val="20"/>
          <w:szCs w:val="20"/>
          <w:u w:val="single"/>
        </w:rPr>
        <w:t>FICHE SUJET DE THESE</w:t>
      </w:r>
    </w:p>
    <w:p w14:paraId="0C09C402" w14:textId="77777777" w:rsidR="00620982" w:rsidRPr="00BD3619" w:rsidRDefault="00620982" w:rsidP="00D03BC5">
      <w:pPr>
        <w:ind w:left="-567"/>
        <w:rPr>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601"/>
        <w:gridCol w:w="3713"/>
      </w:tblGrid>
      <w:tr w:rsidR="00166F3D" w:rsidRPr="00BD3619" w14:paraId="4D157861" w14:textId="77777777" w:rsidTr="00BD3619">
        <w:tc>
          <w:tcPr>
            <w:tcW w:w="3176" w:type="dxa"/>
            <w:shd w:val="clear" w:color="auto" w:fill="auto"/>
            <w:vAlign w:val="center"/>
          </w:tcPr>
          <w:p w14:paraId="6DB13E04" w14:textId="77777777" w:rsidR="009A0982" w:rsidRPr="008F6FAA" w:rsidRDefault="00166F3D" w:rsidP="008F6FAA">
            <w:pPr>
              <w:spacing w:before="120" w:after="120" w:line="276" w:lineRule="auto"/>
              <w:rPr>
                <w:rFonts w:ascii="Arial" w:hAnsi="Arial" w:cs="Arial"/>
                <w:b/>
                <w:bCs/>
                <w:sz w:val="16"/>
                <w:szCs w:val="16"/>
              </w:rPr>
            </w:pPr>
            <w:r w:rsidRPr="008F6FAA">
              <w:rPr>
                <w:rFonts w:ascii="Arial" w:hAnsi="Arial" w:cs="Arial"/>
                <w:b/>
                <w:bCs/>
                <w:sz w:val="16"/>
                <w:szCs w:val="16"/>
              </w:rPr>
              <w:t xml:space="preserve">Sujet N° (à remplir par l’ED) : </w:t>
            </w:r>
          </w:p>
        </w:tc>
        <w:tc>
          <w:tcPr>
            <w:tcW w:w="3601" w:type="dxa"/>
            <w:shd w:val="clear" w:color="auto" w:fill="auto"/>
            <w:vAlign w:val="center"/>
          </w:tcPr>
          <w:p w14:paraId="43A50F9F" w14:textId="6BD043F5" w:rsidR="00166F3D" w:rsidRPr="008F6FAA" w:rsidRDefault="00166F3D" w:rsidP="008F6FAA">
            <w:pPr>
              <w:spacing w:before="120" w:line="276" w:lineRule="auto"/>
              <w:rPr>
                <w:rFonts w:ascii="Arial" w:hAnsi="Arial" w:cs="Arial"/>
                <w:b/>
                <w:bCs/>
                <w:sz w:val="16"/>
                <w:szCs w:val="16"/>
              </w:rPr>
            </w:pPr>
            <w:r w:rsidRPr="008F6FAA">
              <w:rPr>
                <w:rFonts w:ascii="Arial" w:hAnsi="Arial" w:cs="Arial"/>
                <w:b/>
                <w:bCs/>
                <w:sz w:val="16"/>
                <w:szCs w:val="16"/>
              </w:rPr>
              <w:t xml:space="preserve">FINANCEMENT : </w:t>
            </w:r>
            <w:r w:rsidR="009A0982" w:rsidRPr="008F6FAA">
              <w:rPr>
                <w:rFonts w:ascii="Arial" w:hAnsi="Arial" w:cs="Arial"/>
                <w:b/>
                <w:bCs/>
                <w:sz w:val="16"/>
                <w:szCs w:val="16"/>
              </w:rPr>
              <w:tab/>
            </w:r>
            <w:r w:rsidRPr="008F6FAA">
              <w:rPr>
                <w:rFonts w:ascii="Arial" w:hAnsi="Arial" w:cs="Arial"/>
                <w:b/>
                <w:bCs/>
                <w:sz w:val="16"/>
                <w:szCs w:val="16"/>
              </w:rPr>
              <w:tab/>
            </w:r>
            <w:r w:rsidR="00196E15" w:rsidRPr="00196E15">
              <w:rPr>
                <w:rFonts w:ascii="Arial" w:hAnsi="Arial" w:cs="Arial"/>
                <w:b/>
                <w:bCs/>
                <w:sz w:val="16"/>
                <w:szCs w:val="16"/>
              </w:rPr>
              <w:fldChar w:fldCharType="begin">
                <w:ffData>
                  <w:name w:val="CaseACocher1"/>
                  <w:enabled/>
                  <w:calcOnExit w:val="0"/>
                  <w:checkBox>
                    <w:sizeAuto/>
                    <w:default w:val="1"/>
                  </w:checkBox>
                </w:ffData>
              </w:fldChar>
            </w:r>
            <w:bookmarkStart w:id="0" w:name="CaseACocher1"/>
            <w:r w:rsidR="00196E15" w:rsidRPr="00196E15">
              <w:rPr>
                <w:rFonts w:ascii="Arial" w:hAnsi="Arial" w:cs="Arial"/>
                <w:b/>
                <w:bCs/>
                <w:sz w:val="16"/>
                <w:szCs w:val="16"/>
              </w:rPr>
              <w:instrText xml:space="preserve"> FORMCHECKBOX </w:instrText>
            </w:r>
            <w:r w:rsidR="00196E15" w:rsidRPr="00196E15">
              <w:rPr>
                <w:rFonts w:ascii="Arial" w:hAnsi="Arial" w:cs="Arial"/>
                <w:b/>
                <w:bCs/>
                <w:sz w:val="16"/>
                <w:szCs w:val="16"/>
              </w:rPr>
            </w:r>
            <w:r w:rsidR="00196E15" w:rsidRPr="00196E15">
              <w:rPr>
                <w:rFonts w:ascii="Arial" w:hAnsi="Arial" w:cs="Arial"/>
                <w:b/>
                <w:bCs/>
                <w:sz w:val="16"/>
                <w:szCs w:val="16"/>
              </w:rPr>
              <w:fldChar w:fldCharType="end"/>
            </w:r>
            <w:bookmarkEnd w:id="0"/>
            <w:r w:rsidRPr="008F6FAA">
              <w:rPr>
                <w:rFonts w:ascii="Arial" w:hAnsi="Arial" w:cs="Arial"/>
                <w:b/>
                <w:bCs/>
                <w:sz w:val="16"/>
                <w:szCs w:val="16"/>
              </w:rPr>
              <w:t xml:space="preserve"> Demandé</w:t>
            </w:r>
          </w:p>
          <w:p w14:paraId="2E551D75" w14:textId="77777777" w:rsidR="00166F3D" w:rsidRPr="008F6FAA" w:rsidRDefault="00166F3D" w:rsidP="008F6FAA">
            <w:pPr>
              <w:spacing w:after="120" w:line="276" w:lineRule="auto"/>
              <w:rPr>
                <w:rFonts w:ascii="Arial" w:hAnsi="Arial" w:cs="Arial"/>
                <w:b/>
                <w:bCs/>
                <w:sz w:val="16"/>
                <w:szCs w:val="16"/>
              </w:rPr>
            </w:pPr>
            <w:r w:rsidRPr="008F6FAA">
              <w:rPr>
                <w:rFonts w:ascii="Arial" w:hAnsi="Arial" w:cs="Arial"/>
                <w:b/>
                <w:bCs/>
                <w:sz w:val="16"/>
                <w:szCs w:val="16"/>
              </w:rPr>
              <w:tab/>
            </w:r>
            <w:r w:rsidRPr="008F6FAA">
              <w:rPr>
                <w:rFonts w:ascii="Arial" w:hAnsi="Arial" w:cs="Arial"/>
                <w:b/>
                <w:bCs/>
                <w:sz w:val="16"/>
                <w:szCs w:val="16"/>
              </w:rPr>
              <w:tab/>
            </w:r>
            <w:r w:rsidRPr="008F6FAA">
              <w:rPr>
                <w:rFonts w:ascii="Arial" w:hAnsi="Arial" w:cs="Arial"/>
                <w:b/>
                <w:bCs/>
                <w:sz w:val="16"/>
                <w:szCs w:val="16"/>
              </w:rPr>
              <w:tab/>
            </w:r>
            <w:r w:rsidRPr="008F6FAA">
              <w:rPr>
                <w:rFonts w:ascii="Arial" w:hAnsi="Arial" w:cs="Arial"/>
                <w:b/>
                <w:bCs/>
                <w:sz w:val="16"/>
                <w:szCs w:val="16"/>
              </w:rPr>
              <w:fldChar w:fldCharType="begin">
                <w:ffData>
                  <w:name w:val="CaseACocher2"/>
                  <w:enabled/>
                  <w:calcOnExit w:val="0"/>
                  <w:checkBox>
                    <w:sizeAuto/>
                    <w:default w:val="0"/>
                  </w:checkBox>
                </w:ffData>
              </w:fldChar>
            </w:r>
            <w:bookmarkStart w:id="1" w:name="CaseACocher2"/>
            <w:r w:rsidRPr="008F6FAA">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8F6FAA">
              <w:rPr>
                <w:rFonts w:ascii="Arial" w:hAnsi="Arial" w:cs="Arial"/>
                <w:b/>
                <w:bCs/>
                <w:sz w:val="16"/>
                <w:szCs w:val="16"/>
              </w:rPr>
              <w:fldChar w:fldCharType="end"/>
            </w:r>
            <w:bookmarkEnd w:id="1"/>
            <w:r w:rsidRPr="008F6FAA">
              <w:rPr>
                <w:rFonts w:ascii="Arial" w:hAnsi="Arial" w:cs="Arial"/>
                <w:b/>
                <w:bCs/>
                <w:sz w:val="16"/>
                <w:szCs w:val="16"/>
              </w:rPr>
              <w:t xml:space="preserve"> Acquis</w:t>
            </w:r>
          </w:p>
        </w:tc>
        <w:tc>
          <w:tcPr>
            <w:tcW w:w="3713" w:type="dxa"/>
            <w:shd w:val="clear" w:color="auto" w:fill="auto"/>
            <w:vAlign w:val="center"/>
          </w:tcPr>
          <w:p w14:paraId="1257CB0D" w14:textId="7B246F69" w:rsidR="009A0982" w:rsidRPr="008F6FAA" w:rsidRDefault="00166F3D" w:rsidP="009A0982">
            <w:pPr>
              <w:spacing w:line="276" w:lineRule="auto"/>
              <w:rPr>
                <w:rFonts w:ascii="Arial" w:hAnsi="Arial" w:cs="Arial"/>
                <w:b/>
                <w:bCs/>
                <w:sz w:val="16"/>
                <w:szCs w:val="16"/>
              </w:rPr>
            </w:pPr>
            <w:r w:rsidRPr="008F6FAA">
              <w:rPr>
                <w:rFonts w:ascii="Arial" w:hAnsi="Arial" w:cs="Arial"/>
                <w:b/>
                <w:bCs/>
                <w:sz w:val="16"/>
                <w:szCs w:val="16"/>
              </w:rPr>
              <w:t>Origine</w:t>
            </w:r>
            <w:r w:rsidR="007729D4">
              <w:rPr>
                <w:rFonts w:ascii="Arial" w:hAnsi="Arial" w:cs="Arial"/>
                <w:b/>
                <w:bCs/>
                <w:sz w:val="16"/>
                <w:szCs w:val="16"/>
              </w:rPr>
              <w:t xml:space="preserve"> du financement</w:t>
            </w:r>
            <w:r w:rsidRPr="008F6FAA">
              <w:rPr>
                <w:rFonts w:ascii="Arial" w:hAnsi="Arial" w:cs="Arial"/>
                <w:b/>
                <w:bCs/>
                <w:sz w:val="16"/>
                <w:szCs w:val="16"/>
              </w:rPr>
              <w:t xml:space="preserve"> : </w:t>
            </w:r>
            <w:r w:rsidR="00F52165">
              <w:rPr>
                <w:rFonts w:ascii="Arial" w:hAnsi="Arial" w:cs="Arial"/>
                <w:b/>
                <w:bCs/>
                <w:sz w:val="16"/>
                <w:szCs w:val="16"/>
              </w:rPr>
              <w:t xml:space="preserve"> </w:t>
            </w:r>
          </w:p>
        </w:tc>
      </w:tr>
      <w:tr w:rsidR="00280FA6" w:rsidRPr="00BD3619" w14:paraId="533AD0CC" w14:textId="77777777" w:rsidTr="00280FA6">
        <w:tc>
          <w:tcPr>
            <w:tcW w:w="6777" w:type="dxa"/>
            <w:gridSpan w:val="2"/>
            <w:shd w:val="clear" w:color="auto" w:fill="auto"/>
            <w:vAlign w:val="center"/>
          </w:tcPr>
          <w:p w14:paraId="4BB80617" w14:textId="77777777" w:rsidR="00280FA6" w:rsidRPr="008F6FAA" w:rsidRDefault="00280FA6" w:rsidP="00F12861">
            <w:pPr>
              <w:spacing w:before="120"/>
              <w:rPr>
                <w:rFonts w:ascii="Arial" w:hAnsi="Arial" w:cs="Arial"/>
                <w:b/>
                <w:sz w:val="16"/>
                <w:szCs w:val="16"/>
              </w:rPr>
            </w:pPr>
            <w:r w:rsidRPr="008F6FAA">
              <w:rPr>
                <w:rFonts w:ascii="Arial" w:hAnsi="Arial" w:cs="Arial"/>
                <w:bCs/>
                <w:sz w:val="16"/>
                <w:szCs w:val="16"/>
              </w:rPr>
              <w:t xml:space="preserve">Titre de la thèse : </w:t>
            </w:r>
          </w:p>
          <w:p w14:paraId="6DCE8CED" w14:textId="77777777" w:rsidR="00280FA6" w:rsidRPr="00F52165" w:rsidRDefault="00A94C0F" w:rsidP="00A94C0F">
            <w:pPr>
              <w:autoSpaceDE w:val="0"/>
              <w:autoSpaceDN w:val="0"/>
              <w:adjustRightInd w:val="0"/>
              <w:rPr>
                <w:rFonts w:ascii="Arial" w:hAnsi="Arial" w:cs="Arial"/>
                <w:b/>
                <w:sz w:val="16"/>
                <w:szCs w:val="16"/>
              </w:rPr>
            </w:pPr>
            <w:r w:rsidRPr="00A94C0F">
              <w:rPr>
                <w:b/>
                <w:bCs/>
                <w:sz w:val="20"/>
                <w:szCs w:val="20"/>
              </w:rPr>
              <w:t>Identification de l’interactome du canal potassique hERG cardiaque pour une</w:t>
            </w:r>
            <w:r>
              <w:rPr>
                <w:b/>
                <w:bCs/>
                <w:sz w:val="20"/>
                <w:szCs w:val="20"/>
              </w:rPr>
              <w:t xml:space="preserve"> </w:t>
            </w:r>
            <w:r w:rsidRPr="00A94C0F">
              <w:rPr>
                <w:b/>
                <w:bCs/>
                <w:sz w:val="20"/>
                <w:szCs w:val="20"/>
              </w:rPr>
              <w:t>compréhension accrue des pathologies du QT</w:t>
            </w:r>
          </w:p>
        </w:tc>
        <w:tc>
          <w:tcPr>
            <w:tcW w:w="3713" w:type="dxa"/>
            <w:shd w:val="clear" w:color="auto" w:fill="auto"/>
            <w:vAlign w:val="center"/>
          </w:tcPr>
          <w:p w14:paraId="28014182" w14:textId="1EBD5C3F" w:rsidR="00280FA6" w:rsidRPr="008F6FAA" w:rsidRDefault="00280FA6" w:rsidP="00F12861">
            <w:pPr>
              <w:rPr>
                <w:rFonts w:ascii="Arial" w:hAnsi="Arial" w:cs="Arial"/>
                <w:b/>
                <w:sz w:val="16"/>
                <w:szCs w:val="16"/>
              </w:rPr>
            </w:pPr>
            <w:r w:rsidRPr="008F6FAA">
              <w:rPr>
                <w:rFonts w:ascii="Arial" w:hAnsi="Arial" w:cs="Arial"/>
                <w:bCs/>
                <w:sz w:val="16"/>
                <w:szCs w:val="16"/>
              </w:rPr>
              <w:t xml:space="preserve">3 mots-clés : </w:t>
            </w:r>
            <w:r w:rsidR="00273FA3" w:rsidRPr="00A94C0F">
              <w:rPr>
                <w:sz w:val="20"/>
                <w:szCs w:val="20"/>
              </w:rPr>
              <w:t>syndrome du QT long</w:t>
            </w:r>
            <w:r w:rsidR="00273FA3">
              <w:rPr>
                <w:sz w:val="20"/>
                <w:szCs w:val="20"/>
              </w:rPr>
              <w:t xml:space="preserve">, hERG, </w:t>
            </w:r>
            <w:r w:rsidR="00273FA3" w:rsidRPr="005D088D">
              <w:rPr>
                <w:sz w:val="20"/>
                <w:szCs w:val="20"/>
              </w:rPr>
              <w:t>protéines partenaires</w:t>
            </w:r>
          </w:p>
        </w:tc>
      </w:tr>
      <w:tr w:rsidR="008E068D" w:rsidRPr="00BD3619" w14:paraId="1B1923E8" w14:textId="77777777" w:rsidTr="00BD3619">
        <w:tc>
          <w:tcPr>
            <w:tcW w:w="10490" w:type="dxa"/>
            <w:gridSpan w:val="3"/>
            <w:shd w:val="clear" w:color="auto" w:fill="auto"/>
            <w:vAlign w:val="center"/>
          </w:tcPr>
          <w:p w14:paraId="12690145" w14:textId="77777777" w:rsidR="00F12861" w:rsidRDefault="008E068D" w:rsidP="00F12861">
            <w:pPr>
              <w:pStyle w:val="Default"/>
              <w:rPr>
                <w:bCs/>
                <w:sz w:val="16"/>
                <w:szCs w:val="16"/>
              </w:rPr>
            </w:pPr>
            <w:r w:rsidRPr="008F6FAA">
              <w:rPr>
                <w:bCs/>
                <w:sz w:val="16"/>
                <w:szCs w:val="16"/>
              </w:rPr>
              <w:t>Unité/équipe encadrante :</w:t>
            </w:r>
          </w:p>
          <w:p w14:paraId="616281C4" w14:textId="4986DA22" w:rsidR="008E068D" w:rsidRPr="008F6FAA" w:rsidRDefault="00981851" w:rsidP="00F52165">
            <w:pPr>
              <w:spacing w:after="120"/>
              <w:rPr>
                <w:rFonts w:ascii="Arial" w:hAnsi="Arial" w:cs="Arial"/>
                <w:sz w:val="16"/>
                <w:szCs w:val="16"/>
              </w:rPr>
            </w:pPr>
            <w:r w:rsidRPr="00F52165">
              <w:rPr>
                <w:sz w:val="20"/>
                <w:szCs w:val="20"/>
              </w:rPr>
              <w:t xml:space="preserve"> L’institut du thorax (Inserm/CNRS/Nantes Univ.), </w:t>
            </w:r>
            <w:r w:rsidR="0077664E" w:rsidRPr="00C75BD7">
              <w:rPr>
                <w:sz w:val="20"/>
                <w:szCs w:val="20"/>
              </w:rPr>
              <w:t xml:space="preserve">Team II </w:t>
            </w:r>
            <w:r w:rsidR="0077664E" w:rsidRPr="0077664E">
              <w:rPr>
                <w:sz w:val="20"/>
                <w:szCs w:val="20"/>
              </w:rPr>
              <w:t>- Ion Channels and Cardiopathies</w:t>
            </w:r>
          </w:p>
        </w:tc>
      </w:tr>
      <w:tr w:rsidR="00DC7FE7" w:rsidRPr="00BC07F8" w14:paraId="7828AABF" w14:textId="77777777" w:rsidTr="00F55C89">
        <w:tc>
          <w:tcPr>
            <w:tcW w:w="6777" w:type="dxa"/>
            <w:gridSpan w:val="2"/>
            <w:shd w:val="clear" w:color="auto" w:fill="auto"/>
            <w:vAlign w:val="center"/>
          </w:tcPr>
          <w:p w14:paraId="2E833DBE" w14:textId="77777777" w:rsidR="00DC7FE7" w:rsidRPr="008F6FAA" w:rsidRDefault="00DC7FE7" w:rsidP="00DC7FE7">
            <w:pPr>
              <w:spacing w:before="120"/>
              <w:rPr>
                <w:rFonts w:ascii="Arial" w:hAnsi="Arial" w:cs="Arial"/>
                <w:bCs/>
                <w:sz w:val="16"/>
                <w:szCs w:val="16"/>
              </w:rPr>
            </w:pPr>
            <w:r>
              <w:rPr>
                <w:rFonts w:ascii="Arial" w:hAnsi="Arial" w:cs="Arial"/>
                <w:bCs/>
                <w:sz w:val="16"/>
                <w:szCs w:val="16"/>
              </w:rPr>
              <w:t>D</w:t>
            </w:r>
            <w:r w:rsidRPr="008F6FAA">
              <w:rPr>
                <w:rFonts w:ascii="Arial" w:hAnsi="Arial" w:cs="Arial"/>
                <w:bCs/>
                <w:sz w:val="16"/>
                <w:szCs w:val="16"/>
              </w:rPr>
              <w:t>irecteur de thèse :</w:t>
            </w:r>
          </w:p>
          <w:p w14:paraId="7BE48048" w14:textId="77777777" w:rsidR="00DC7FE7" w:rsidRPr="002120CF" w:rsidRDefault="00DC7FE7" w:rsidP="00DC7FE7">
            <w:pPr>
              <w:spacing w:after="120"/>
              <w:rPr>
                <w:rFonts w:ascii="Arial" w:hAnsi="Arial" w:cs="Arial"/>
                <w:bCs/>
                <w:sz w:val="16"/>
                <w:szCs w:val="16"/>
              </w:rPr>
            </w:pPr>
            <w:r w:rsidRPr="00DC7FE7">
              <w:rPr>
                <w:sz w:val="20"/>
                <w:szCs w:val="20"/>
              </w:rPr>
              <w:t xml:space="preserve">Isabelle </w:t>
            </w:r>
            <w:r w:rsidR="002120CF" w:rsidRPr="002120CF">
              <w:rPr>
                <w:sz w:val="20"/>
                <w:szCs w:val="20"/>
              </w:rPr>
              <w:t>Baró</w:t>
            </w:r>
          </w:p>
        </w:tc>
        <w:tc>
          <w:tcPr>
            <w:tcW w:w="3713" w:type="dxa"/>
            <w:shd w:val="clear" w:color="auto" w:fill="auto"/>
            <w:vAlign w:val="center"/>
          </w:tcPr>
          <w:p w14:paraId="081A3755" w14:textId="77777777" w:rsidR="00DC7FE7" w:rsidRDefault="00DC7FE7" w:rsidP="00DC7FE7">
            <w:pPr>
              <w:spacing w:before="120"/>
              <w:rPr>
                <w:rFonts w:ascii="Arial" w:hAnsi="Arial" w:cs="Arial"/>
                <w:sz w:val="16"/>
                <w:szCs w:val="16"/>
              </w:rPr>
            </w:pPr>
            <w:r w:rsidRPr="00640AA9">
              <w:rPr>
                <w:rFonts w:ascii="Arial" w:hAnsi="Arial" w:cs="Arial"/>
                <w:sz w:val="16"/>
                <w:szCs w:val="16"/>
              </w:rPr>
              <w:t>N° de tél : 02 28</w:t>
            </w:r>
            <w:r w:rsidRPr="00627AE1">
              <w:rPr>
                <w:rFonts w:ascii="Arial" w:hAnsi="Arial" w:cs="Arial"/>
                <w:sz w:val="16"/>
                <w:szCs w:val="16"/>
              </w:rPr>
              <w:t xml:space="preserve"> 08 01 50</w:t>
            </w:r>
          </w:p>
          <w:p w14:paraId="70C95E04" w14:textId="77777777" w:rsidR="00DC7FE7" w:rsidRPr="008F6FAA" w:rsidRDefault="00DC7FE7" w:rsidP="00DC7FE7">
            <w:pPr>
              <w:spacing w:after="120"/>
              <w:rPr>
                <w:rFonts w:ascii="Arial" w:hAnsi="Arial" w:cs="Arial"/>
                <w:bCs/>
                <w:sz w:val="16"/>
                <w:szCs w:val="16"/>
              </w:rPr>
            </w:pPr>
            <w:r>
              <w:rPr>
                <w:rFonts w:ascii="Arial" w:hAnsi="Arial" w:cs="Arial"/>
                <w:sz w:val="16"/>
                <w:szCs w:val="16"/>
              </w:rPr>
              <w:t>M</w:t>
            </w:r>
            <w:r w:rsidRPr="003B373A">
              <w:rPr>
                <w:rFonts w:ascii="Arial" w:hAnsi="Arial" w:cs="Arial"/>
                <w:sz w:val="16"/>
                <w:szCs w:val="16"/>
              </w:rPr>
              <w:t>ail :</w:t>
            </w:r>
            <w:r>
              <w:rPr>
                <w:rFonts w:ascii="Arial" w:hAnsi="Arial" w:cs="Arial"/>
                <w:sz w:val="16"/>
                <w:szCs w:val="16"/>
              </w:rPr>
              <w:t xml:space="preserve"> </w:t>
            </w:r>
            <w:r w:rsidRPr="00DC7FE7">
              <w:rPr>
                <w:sz w:val="20"/>
                <w:szCs w:val="20"/>
              </w:rPr>
              <w:t>isabelle.baro@univ-nantes.fr</w:t>
            </w:r>
          </w:p>
        </w:tc>
      </w:tr>
      <w:tr w:rsidR="00DC7FE7" w:rsidRPr="00BD3619" w14:paraId="4403B12E" w14:textId="77777777" w:rsidTr="00BD3619">
        <w:tc>
          <w:tcPr>
            <w:tcW w:w="10490" w:type="dxa"/>
            <w:gridSpan w:val="3"/>
            <w:shd w:val="clear" w:color="auto" w:fill="auto"/>
            <w:vAlign w:val="center"/>
          </w:tcPr>
          <w:p w14:paraId="4B2B65C9" w14:textId="77777777" w:rsidR="00DC7FE7" w:rsidRPr="005D088D" w:rsidRDefault="00DC7FE7" w:rsidP="00DC7FE7">
            <w:pPr>
              <w:spacing w:before="120"/>
              <w:rPr>
                <w:rFonts w:ascii="Arial" w:hAnsi="Arial" w:cs="Arial"/>
                <w:iCs/>
                <w:sz w:val="16"/>
                <w:szCs w:val="16"/>
                <w:u w:val="single"/>
              </w:rPr>
            </w:pPr>
            <w:r w:rsidRPr="005D088D">
              <w:rPr>
                <w:rFonts w:ascii="Arial" w:hAnsi="Arial" w:cs="Arial"/>
                <w:iCs/>
                <w:sz w:val="16"/>
                <w:szCs w:val="16"/>
                <w:u w:val="single"/>
              </w:rPr>
              <w:t xml:space="preserve">Contexte socioéconomique et scientifique (env. 10 lignes) :  </w:t>
            </w:r>
          </w:p>
          <w:p w14:paraId="5AECA85C" w14:textId="77777777" w:rsidR="00DC7FE7" w:rsidRPr="005D088D" w:rsidRDefault="00DC7FE7" w:rsidP="00DC7FE7">
            <w:pPr>
              <w:autoSpaceDE w:val="0"/>
              <w:autoSpaceDN w:val="0"/>
              <w:adjustRightInd w:val="0"/>
              <w:jc w:val="both"/>
              <w:rPr>
                <w:sz w:val="20"/>
                <w:szCs w:val="20"/>
              </w:rPr>
            </w:pPr>
            <w:r w:rsidRPr="00A94C0F">
              <w:rPr>
                <w:sz w:val="20"/>
                <w:szCs w:val="20"/>
              </w:rPr>
              <w:t xml:space="preserve">Parmi les arythmies héréditaires, le syndrome du QT long (SQTL) est la première décrite et la plus fréquente. </w:t>
            </w:r>
            <w:r>
              <w:rPr>
                <w:sz w:val="20"/>
                <w:szCs w:val="20"/>
              </w:rPr>
              <w:t xml:space="preserve">30% des cas </w:t>
            </w:r>
            <w:r w:rsidRPr="006D2853">
              <w:rPr>
                <w:sz w:val="20"/>
                <w:szCs w:val="20"/>
              </w:rPr>
              <w:t xml:space="preserve">résultant souvent de variations rares de perte de fonction dans le gène </w:t>
            </w:r>
            <w:r w:rsidRPr="005D088D">
              <w:rPr>
                <w:i/>
                <w:sz w:val="20"/>
                <w:szCs w:val="20"/>
              </w:rPr>
              <w:t>KCNH2</w:t>
            </w:r>
            <w:r w:rsidRPr="006D2853">
              <w:rPr>
                <w:sz w:val="20"/>
                <w:szCs w:val="20"/>
              </w:rPr>
              <w:t>, codant pour le canal cardiaque hERG.</w:t>
            </w:r>
            <w:r>
              <w:rPr>
                <w:sz w:val="20"/>
                <w:szCs w:val="20"/>
              </w:rPr>
              <w:t xml:space="preserve"> </w:t>
            </w:r>
            <w:r w:rsidRPr="005D088D">
              <w:rPr>
                <w:sz w:val="20"/>
                <w:szCs w:val="20"/>
              </w:rPr>
              <w:t xml:space="preserve">Nous sommes en cours de finalisation d’un projet ambitieux, visant à phénotyper l’intégralité des 350 variants français du canal hERG, codé par le gène </w:t>
            </w:r>
            <w:r w:rsidRPr="005D088D">
              <w:rPr>
                <w:i/>
                <w:sz w:val="20"/>
                <w:szCs w:val="20"/>
              </w:rPr>
              <w:t>KCNH2</w:t>
            </w:r>
            <w:r w:rsidRPr="005D088D">
              <w:rPr>
                <w:sz w:val="20"/>
                <w:szCs w:val="20"/>
              </w:rPr>
              <w:t xml:space="preserve">, afin de préciser le risque de SQTL ou de syndrome du QT court (SQTC) et donc de mort subite chez les patients portant un de ces variants de hERG. Ce travail nous permet d’envisager la constitution d’une base de données sur la pathogénicité de tous les variants Français. Par ailleurs, nous avons conçu un algorithme, sur la base d’informations structurales, permettant de prédire le risque de QT long/court en fonction de la position du variant le long de la séquence de 1159 acides aminés du canal. </w:t>
            </w:r>
            <w:r w:rsidRPr="00A94C0F">
              <w:rPr>
                <w:sz w:val="20"/>
                <w:szCs w:val="20"/>
              </w:rPr>
              <w:t xml:space="preserve">Il existe néanmoins des cas où la pathogénicité des variants ne peut pas être prédite simplement, parce qu’ils n’impactent pas directement la fonction du canal, mais plutôt son interaction avec ses protéines partenaires. </w:t>
            </w:r>
          </w:p>
        </w:tc>
      </w:tr>
      <w:tr w:rsidR="00DC7FE7" w:rsidRPr="00BD3619" w14:paraId="7EBD8B8B" w14:textId="77777777" w:rsidTr="00BD3619">
        <w:tc>
          <w:tcPr>
            <w:tcW w:w="10490" w:type="dxa"/>
            <w:gridSpan w:val="3"/>
            <w:shd w:val="clear" w:color="auto" w:fill="auto"/>
            <w:vAlign w:val="center"/>
          </w:tcPr>
          <w:p w14:paraId="5CB110CB" w14:textId="77777777" w:rsidR="00DC7FE7" w:rsidRPr="008F6FAA" w:rsidRDefault="00DC7FE7" w:rsidP="00DC7FE7">
            <w:pPr>
              <w:spacing w:before="120"/>
              <w:rPr>
                <w:rFonts w:ascii="Arial" w:hAnsi="Arial" w:cs="Arial"/>
                <w:iCs/>
                <w:sz w:val="16"/>
                <w:szCs w:val="16"/>
              </w:rPr>
            </w:pPr>
            <w:r w:rsidRPr="008F6FAA">
              <w:rPr>
                <w:rFonts w:ascii="Arial" w:hAnsi="Arial" w:cs="Arial"/>
                <w:iCs/>
                <w:sz w:val="16"/>
                <w:szCs w:val="16"/>
                <w:u w:val="single"/>
              </w:rPr>
              <w:t>Hypothèses et questions posées (env. 8 lignes)</w:t>
            </w:r>
            <w:r w:rsidRPr="008F6FAA">
              <w:rPr>
                <w:rFonts w:ascii="Arial" w:hAnsi="Arial" w:cs="Arial"/>
                <w:iCs/>
                <w:sz w:val="16"/>
                <w:szCs w:val="16"/>
              </w:rPr>
              <w:t xml:space="preserve"> : </w:t>
            </w:r>
          </w:p>
          <w:p w14:paraId="0FDE28D8" w14:textId="77777777" w:rsidR="00DC7FE7" w:rsidRDefault="00DC7FE7" w:rsidP="00DC7FE7">
            <w:pPr>
              <w:autoSpaceDE w:val="0"/>
              <w:autoSpaceDN w:val="0"/>
              <w:adjustRightInd w:val="0"/>
              <w:jc w:val="both"/>
              <w:rPr>
                <w:sz w:val="20"/>
                <w:szCs w:val="20"/>
              </w:rPr>
            </w:pPr>
            <w:r w:rsidRPr="005D088D">
              <w:rPr>
                <w:sz w:val="20"/>
                <w:szCs w:val="20"/>
              </w:rPr>
              <w:t>La connaissance (i) de ces</w:t>
            </w:r>
            <w:r>
              <w:rPr>
                <w:sz w:val="20"/>
                <w:szCs w:val="20"/>
              </w:rPr>
              <w:t xml:space="preserve"> </w:t>
            </w:r>
            <w:r w:rsidRPr="005D088D">
              <w:rPr>
                <w:sz w:val="20"/>
                <w:szCs w:val="20"/>
              </w:rPr>
              <w:t>protéines partenaires du canal hERG, constituant ce que nous appelons l’interactome, et (ii) de la localisation</w:t>
            </w:r>
            <w:r>
              <w:rPr>
                <w:sz w:val="20"/>
                <w:szCs w:val="20"/>
              </w:rPr>
              <w:t xml:space="preserve"> </w:t>
            </w:r>
            <w:r w:rsidRPr="005D088D">
              <w:rPr>
                <w:sz w:val="20"/>
                <w:szCs w:val="20"/>
              </w:rPr>
              <w:t>précise des domaines d'interaction de ces protéines partenaires dans la structure du canal, fourniraient des</w:t>
            </w:r>
            <w:r>
              <w:rPr>
                <w:sz w:val="20"/>
                <w:szCs w:val="20"/>
              </w:rPr>
              <w:t xml:space="preserve"> </w:t>
            </w:r>
            <w:r w:rsidRPr="005D088D">
              <w:rPr>
                <w:sz w:val="20"/>
                <w:szCs w:val="20"/>
              </w:rPr>
              <w:t>informations précieuses à plusieurs titres : 1- une meilleure classification de la pathogénicité de certains</w:t>
            </w:r>
            <w:r>
              <w:rPr>
                <w:sz w:val="20"/>
                <w:szCs w:val="20"/>
              </w:rPr>
              <w:t xml:space="preserve"> </w:t>
            </w:r>
            <w:r w:rsidRPr="005D088D">
              <w:rPr>
                <w:sz w:val="20"/>
                <w:szCs w:val="20"/>
              </w:rPr>
              <w:t>variants (ceux positionnés dans les sites d’interaction avec l’interactome) et 2- l’identification de nouvelles</w:t>
            </w:r>
            <w:r>
              <w:rPr>
                <w:sz w:val="20"/>
                <w:szCs w:val="20"/>
              </w:rPr>
              <w:t xml:space="preserve"> </w:t>
            </w:r>
            <w:r w:rsidRPr="005D088D">
              <w:rPr>
                <w:sz w:val="20"/>
                <w:szCs w:val="20"/>
              </w:rPr>
              <w:t>protéines pouvant être la cause d’autres formes de SQTL ou SQTC. Ces protéines partenaires peuvent jouer</w:t>
            </w:r>
            <w:r>
              <w:rPr>
                <w:sz w:val="20"/>
                <w:szCs w:val="20"/>
              </w:rPr>
              <w:t xml:space="preserve"> </w:t>
            </w:r>
            <w:r w:rsidRPr="005D088D">
              <w:rPr>
                <w:sz w:val="20"/>
                <w:szCs w:val="20"/>
              </w:rPr>
              <w:t>des rôles divers, par exemple dans la régulation de l'expression et du fonctionnement du canal. La</w:t>
            </w:r>
            <w:r>
              <w:rPr>
                <w:sz w:val="20"/>
                <w:szCs w:val="20"/>
              </w:rPr>
              <w:t xml:space="preserve"> </w:t>
            </w:r>
            <w:r w:rsidRPr="005D088D">
              <w:rPr>
                <w:sz w:val="20"/>
                <w:szCs w:val="20"/>
              </w:rPr>
              <w:t>connaissance de cet interactome permettrait donc de mieux prédire les régions à risque de SQTL ou SQTC.</w:t>
            </w:r>
            <w:r>
              <w:rPr>
                <w:sz w:val="20"/>
                <w:szCs w:val="20"/>
              </w:rPr>
              <w:t xml:space="preserve"> </w:t>
            </w:r>
            <w:r w:rsidRPr="005D088D">
              <w:rPr>
                <w:sz w:val="20"/>
                <w:szCs w:val="20"/>
              </w:rPr>
              <w:t>De plus, les gènes codant pour ces protéines partenaires peuvent eux-aussi être mutés, et contribuer</w:t>
            </w:r>
            <w:r>
              <w:rPr>
                <w:sz w:val="20"/>
                <w:szCs w:val="20"/>
              </w:rPr>
              <w:t xml:space="preserve"> </w:t>
            </w:r>
            <w:r w:rsidRPr="005D088D">
              <w:rPr>
                <w:sz w:val="20"/>
                <w:szCs w:val="20"/>
              </w:rPr>
              <w:t xml:space="preserve">directement au développement du SQTL ou SQTC. </w:t>
            </w:r>
          </w:p>
          <w:p w14:paraId="58D1ABED" w14:textId="77777777" w:rsidR="00DC7FE7" w:rsidRPr="008F6FAA" w:rsidRDefault="00DC7FE7" w:rsidP="00DC7FE7">
            <w:pPr>
              <w:autoSpaceDE w:val="0"/>
              <w:autoSpaceDN w:val="0"/>
              <w:adjustRightInd w:val="0"/>
              <w:jc w:val="both"/>
              <w:rPr>
                <w:rFonts w:ascii="Arial" w:hAnsi="Arial" w:cs="Arial"/>
                <w:sz w:val="16"/>
                <w:szCs w:val="16"/>
              </w:rPr>
            </w:pPr>
          </w:p>
        </w:tc>
      </w:tr>
      <w:tr w:rsidR="00DC7FE7" w:rsidRPr="00BD3619" w14:paraId="6716557A" w14:textId="77777777" w:rsidTr="00BD3619">
        <w:tc>
          <w:tcPr>
            <w:tcW w:w="10490" w:type="dxa"/>
            <w:gridSpan w:val="3"/>
            <w:shd w:val="clear" w:color="auto" w:fill="auto"/>
            <w:vAlign w:val="center"/>
          </w:tcPr>
          <w:p w14:paraId="489F5BA4" w14:textId="77777777" w:rsidR="00DC7FE7" w:rsidRPr="00E31585" w:rsidRDefault="00DC7FE7" w:rsidP="00DC7FE7">
            <w:pPr>
              <w:spacing w:before="120"/>
              <w:rPr>
                <w:iCs/>
                <w:sz w:val="20"/>
                <w:szCs w:val="20"/>
              </w:rPr>
            </w:pPr>
            <w:r w:rsidRPr="00E31585">
              <w:rPr>
                <w:iCs/>
                <w:sz w:val="20"/>
                <w:szCs w:val="20"/>
                <w:u w:val="single"/>
              </w:rPr>
              <w:t>Grandes étapes de la thèse (env. 12 lignes)</w:t>
            </w:r>
            <w:r w:rsidRPr="00E31585">
              <w:rPr>
                <w:iCs/>
                <w:sz w:val="20"/>
                <w:szCs w:val="20"/>
              </w:rPr>
              <w:t xml:space="preserve"> : </w:t>
            </w:r>
          </w:p>
          <w:p w14:paraId="248B7E11" w14:textId="77777777" w:rsidR="00DC7FE7" w:rsidRPr="00E31585" w:rsidRDefault="00DC7FE7" w:rsidP="00DC7FE7">
            <w:pPr>
              <w:autoSpaceDE w:val="0"/>
              <w:autoSpaceDN w:val="0"/>
              <w:adjustRightInd w:val="0"/>
              <w:jc w:val="both"/>
              <w:rPr>
                <w:b/>
                <w:sz w:val="20"/>
                <w:szCs w:val="20"/>
              </w:rPr>
            </w:pPr>
            <w:r w:rsidRPr="00E31585">
              <w:rPr>
                <w:sz w:val="20"/>
                <w:szCs w:val="20"/>
              </w:rPr>
              <w:t>1- Insertion d’un tag neutre au sein du canal hERG permettant sa purification à partir d'hiPSC-CMs.</w:t>
            </w:r>
            <w:r>
              <w:rPr>
                <w:sz w:val="20"/>
                <w:szCs w:val="20"/>
              </w:rPr>
              <w:t xml:space="preserve"> </w:t>
            </w:r>
            <w:r w:rsidRPr="00E31585">
              <w:rPr>
                <w:sz w:val="20"/>
                <w:szCs w:val="20"/>
              </w:rPr>
              <w:t>2</w:t>
            </w:r>
            <w:r>
              <w:rPr>
                <w:sz w:val="20"/>
                <w:szCs w:val="20"/>
              </w:rPr>
              <w:t>-</w:t>
            </w:r>
            <w:r w:rsidRPr="00E31585">
              <w:rPr>
                <w:sz w:val="20"/>
                <w:szCs w:val="20"/>
              </w:rPr>
              <w:t xml:space="preserve"> Vérification de la neutralité du tag par patch-clamp automatique : nous</w:t>
            </w:r>
            <w:r>
              <w:rPr>
                <w:sz w:val="20"/>
                <w:szCs w:val="20"/>
              </w:rPr>
              <w:t xml:space="preserve"> </w:t>
            </w:r>
            <w:r w:rsidRPr="00E31585">
              <w:rPr>
                <w:sz w:val="20"/>
                <w:szCs w:val="20"/>
              </w:rPr>
              <w:t>procèderons à la vérification de l’impact de ce tag sur l'expression et la fonction du canal. 3- Immunoprécipitation du canal hERG avec le tag dans les cellules HEK293. L’objectif est</w:t>
            </w:r>
            <w:r>
              <w:rPr>
                <w:sz w:val="20"/>
                <w:szCs w:val="20"/>
              </w:rPr>
              <w:t xml:space="preserve"> </w:t>
            </w:r>
            <w:r w:rsidRPr="00E31585">
              <w:rPr>
                <w:sz w:val="20"/>
                <w:szCs w:val="20"/>
              </w:rPr>
              <w:t>de vérifier que la position et la nature du tag SPOT permettent une immunoprécipitation spécifique et</w:t>
            </w:r>
            <w:r>
              <w:rPr>
                <w:sz w:val="20"/>
                <w:szCs w:val="20"/>
              </w:rPr>
              <w:t xml:space="preserve"> </w:t>
            </w:r>
            <w:r w:rsidRPr="00E31585">
              <w:rPr>
                <w:sz w:val="20"/>
                <w:szCs w:val="20"/>
              </w:rPr>
              <w:t>robuste du canal.</w:t>
            </w:r>
            <w:r>
              <w:rPr>
                <w:sz w:val="20"/>
                <w:szCs w:val="20"/>
              </w:rPr>
              <w:t xml:space="preserve"> </w:t>
            </w:r>
            <w:r w:rsidRPr="00E31585">
              <w:rPr>
                <w:sz w:val="20"/>
                <w:szCs w:val="20"/>
              </w:rPr>
              <w:t>4- Insertion du tag SPOT dans le gène du canal hERG des cellules hiPS par CRISPR-Cas9. 5- Purification du canal hERG et de son interactome par immunoprécipitation à partir d'hiPS-CMs modifiés</w:t>
            </w:r>
            <w:r>
              <w:rPr>
                <w:sz w:val="20"/>
                <w:szCs w:val="20"/>
              </w:rPr>
              <w:t xml:space="preserve"> </w:t>
            </w:r>
            <w:r w:rsidRPr="00E31585">
              <w:rPr>
                <w:sz w:val="20"/>
                <w:szCs w:val="20"/>
              </w:rPr>
              <w:t>avec l’étiquette SPOT. 6- Analyse protéomique de l’interactome du canal hERG : les protéines purifiées seront digérées par la</w:t>
            </w:r>
            <w:r>
              <w:rPr>
                <w:sz w:val="20"/>
                <w:szCs w:val="20"/>
              </w:rPr>
              <w:t xml:space="preserve"> </w:t>
            </w:r>
            <w:r w:rsidRPr="00E31585">
              <w:rPr>
                <w:sz w:val="20"/>
                <w:szCs w:val="20"/>
              </w:rPr>
              <w:t>protéase trypsine et identifiées par spectrométrie de masse (LC-MS/MS)</w:t>
            </w:r>
            <w:r>
              <w:rPr>
                <w:sz w:val="20"/>
                <w:szCs w:val="20"/>
              </w:rPr>
              <w:t xml:space="preserve">. </w:t>
            </w:r>
            <w:r w:rsidRPr="00E31585">
              <w:rPr>
                <w:sz w:val="20"/>
                <w:szCs w:val="20"/>
              </w:rPr>
              <w:t>7- Vérification par biochimie et électrophysiologie de l’interaction avec le canal hERG des différentes</w:t>
            </w:r>
            <w:r>
              <w:rPr>
                <w:sz w:val="20"/>
                <w:szCs w:val="20"/>
              </w:rPr>
              <w:t xml:space="preserve"> </w:t>
            </w:r>
            <w:r w:rsidRPr="00E31585">
              <w:rPr>
                <w:sz w:val="20"/>
                <w:szCs w:val="20"/>
              </w:rPr>
              <w:t>protéines nouvellement identifiées, et détermination des rôles de ces protéines dans la régulation de</w:t>
            </w:r>
            <w:r>
              <w:rPr>
                <w:sz w:val="20"/>
                <w:szCs w:val="20"/>
              </w:rPr>
              <w:t xml:space="preserve"> </w:t>
            </w:r>
            <w:r w:rsidRPr="00E31585">
              <w:rPr>
                <w:sz w:val="20"/>
                <w:szCs w:val="20"/>
              </w:rPr>
              <w:t xml:space="preserve">l'expression et/ou du fonctionnement du canal. 8- Identification des domaines du canal hERG interagissant avec les protéines partenaires </w:t>
            </w:r>
            <w:r>
              <w:rPr>
                <w:sz w:val="20"/>
                <w:szCs w:val="20"/>
              </w:rPr>
              <w:t>n</w:t>
            </w:r>
            <w:r w:rsidRPr="00E31585">
              <w:rPr>
                <w:sz w:val="20"/>
                <w:szCs w:val="20"/>
              </w:rPr>
              <w:t>ouvellement</w:t>
            </w:r>
            <w:r>
              <w:rPr>
                <w:sz w:val="20"/>
                <w:szCs w:val="20"/>
              </w:rPr>
              <w:t xml:space="preserve"> </w:t>
            </w:r>
            <w:r w:rsidRPr="00E31585">
              <w:rPr>
                <w:sz w:val="20"/>
                <w:szCs w:val="20"/>
              </w:rPr>
              <w:t>identifiées et validées fonctionnellement</w:t>
            </w:r>
            <w:r>
              <w:rPr>
                <w:sz w:val="20"/>
                <w:szCs w:val="20"/>
              </w:rPr>
              <w:t xml:space="preserve">. </w:t>
            </w:r>
            <w:r w:rsidRPr="00E31585">
              <w:rPr>
                <w:sz w:val="20"/>
                <w:szCs w:val="20"/>
              </w:rPr>
              <w:t>9- Etude de l’impact des variants, présents dans les domaines d’interaction, sur l'interaction de hERG avec</w:t>
            </w:r>
            <w:r>
              <w:rPr>
                <w:sz w:val="20"/>
                <w:szCs w:val="20"/>
              </w:rPr>
              <w:t xml:space="preserve"> </w:t>
            </w:r>
            <w:r w:rsidRPr="00E31585">
              <w:rPr>
                <w:sz w:val="20"/>
                <w:szCs w:val="20"/>
              </w:rPr>
              <w:t>les protéines partenaires identifiées. Les variants présents dans les domaines d’interaction seront coexprimés</w:t>
            </w:r>
            <w:r>
              <w:rPr>
                <w:sz w:val="20"/>
                <w:szCs w:val="20"/>
              </w:rPr>
              <w:t xml:space="preserve"> </w:t>
            </w:r>
            <w:r w:rsidRPr="00E31585">
              <w:rPr>
                <w:sz w:val="20"/>
                <w:szCs w:val="20"/>
              </w:rPr>
              <w:t>avec les protéines partenaires concernées pour vérifier la préservation ou non de l’interaction</w:t>
            </w:r>
            <w:r>
              <w:rPr>
                <w:sz w:val="20"/>
                <w:szCs w:val="20"/>
              </w:rPr>
              <w:t xml:space="preserve"> </w:t>
            </w:r>
            <w:r w:rsidRPr="00E31585">
              <w:rPr>
                <w:sz w:val="20"/>
                <w:szCs w:val="20"/>
              </w:rPr>
              <w:t>et/ou de la régulation du canal. Au final, nous devrions pouvoir reclassifier des variants initialement bénins</w:t>
            </w:r>
            <w:r>
              <w:rPr>
                <w:sz w:val="20"/>
                <w:szCs w:val="20"/>
              </w:rPr>
              <w:t xml:space="preserve"> </w:t>
            </w:r>
            <w:r w:rsidRPr="00E31585">
              <w:rPr>
                <w:sz w:val="20"/>
                <w:szCs w:val="20"/>
              </w:rPr>
              <w:t>sur l’activité du canal dans son complexe. Nous devrions également ouvrir de nouvelles pistes d’études</w:t>
            </w:r>
            <w:r>
              <w:rPr>
                <w:sz w:val="20"/>
                <w:szCs w:val="20"/>
              </w:rPr>
              <w:t xml:space="preserve"> </w:t>
            </w:r>
            <w:r w:rsidRPr="00E31585">
              <w:rPr>
                <w:sz w:val="20"/>
                <w:szCs w:val="20"/>
              </w:rPr>
              <w:t>pour des formes de LQTS non encore explicitées.</w:t>
            </w:r>
          </w:p>
          <w:p w14:paraId="167023B3" w14:textId="77777777" w:rsidR="00DC7FE7" w:rsidRPr="00E31585" w:rsidRDefault="00DC7FE7" w:rsidP="00DC7FE7">
            <w:pPr>
              <w:rPr>
                <w:sz w:val="20"/>
                <w:szCs w:val="20"/>
              </w:rPr>
            </w:pPr>
          </w:p>
        </w:tc>
      </w:tr>
      <w:tr w:rsidR="00DC7FE7" w:rsidRPr="00BD3619" w14:paraId="0DE8A219" w14:textId="77777777" w:rsidTr="00BD3619">
        <w:tc>
          <w:tcPr>
            <w:tcW w:w="10490" w:type="dxa"/>
            <w:gridSpan w:val="3"/>
            <w:shd w:val="clear" w:color="auto" w:fill="auto"/>
            <w:vAlign w:val="center"/>
          </w:tcPr>
          <w:p w14:paraId="5EDA2626" w14:textId="77777777" w:rsidR="00DC7FE7" w:rsidRDefault="00DC7FE7" w:rsidP="00DC7FE7">
            <w:pPr>
              <w:spacing w:before="120"/>
              <w:rPr>
                <w:rFonts w:ascii="Arial" w:hAnsi="Arial" w:cs="Arial"/>
                <w:bCs/>
                <w:sz w:val="16"/>
                <w:szCs w:val="16"/>
              </w:rPr>
            </w:pPr>
            <w:r w:rsidRPr="008F6FAA">
              <w:rPr>
                <w:rFonts w:ascii="Arial" w:hAnsi="Arial" w:cs="Arial"/>
                <w:bCs/>
                <w:sz w:val="16"/>
                <w:szCs w:val="16"/>
                <w:u w:val="single"/>
              </w:rPr>
              <w:t>Compétences scientifiques et techniques requises par le candidat (2 lignes)</w:t>
            </w:r>
            <w:r w:rsidRPr="008F6FAA">
              <w:rPr>
                <w:rFonts w:ascii="Arial" w:hAnsi="Arial" w:cs="Arial"/>
                <w:bCs/>
                <w:sz w:val="16"/>
                <w:szCs w:val="16"/>
              </w:rPr>
              <w:t> :</w:t>
            </w:r>
          </w:p>
          <w:p w14:paraId="71F6712B" w14:textId="77777777" w:rsidR="00DC7FE7" w:rsidRPr="00F52165" w:rsidRDefault="00DC7FE7" w:rsidP="00DC7FE7">
            <w:pPr>
              <w:spacing w:before="120"/>
              <w:rPr>
                <w:sz w:val="20"/>
                <w:szCs w:val="20"/>
              </w:rPr>
            </w:pPr>
            <w:r w:rsidRPr="00F52165">
              <w:rPr>
                <w:sz w:val="20"/>
                <w:szCs w:val="20"/>
              </w:rPr>
              <w:t>Des compétences en</w:t>
            </w:r>
            <w:r>
              <w:rPr>
                <w:sz w:val="20"/>
                <w:szCs w:val="20"/>
              </w:rPr>
              <w:t xml:space="preserve"> biologie cellulaire,</w:t>
            </w:r>
            <w:r w:rsidRPr="00F52165">
              <w:rPr>
                <w:sz w:val="20"/>
                <w:szCs w:val="20"/>
              </w:rPr>
              <w:t xml:space="preserve"> électrophysiologie des canaux ioniques et en biochimie des protéines seront appréciées.</w:t>
            </w:r>
          </w:p>
          <w:p w14:paraId="16607802" w14:textId="77777777" w:rsidR="00DC7FE7" w:rsidRPr="00992B8A" w:rsidRDefault="00DC7FE7" w:rsidP="00DC7FE7">
            <w:pPr>
              <w:rPr>
                <w:rFonts w:ascii="Arial" w:hAnsi="Arial" w:cs="Arial"/>
                <w:b/>
                <w:sz w:val="16"/>
                <w:szCs w:val="16"/>
              </w:rPr>
            </w:pPr>
          </w:p>
        </w:tc>
      </w:tr>
      <w:tr w:rsidR="00DC7FE7" w:rsidRPr="00310D7E" w14:paraId="04AB7B80" w14:textId="77777777" w:rsidTr="00BD3619">
        <w:tc>
          <w:tcPr>
            <w:tcW w:w="10490" w:type="dxa"/>
            <w:gridSpan w:val="3"/>
            <w:shd w:val="clear" w:color="auto" w:fill="auto"/>
            <w:vAlign w:val="center"/>
          </w:tcPr>
          <w:p w14:paraId="309F437E" w14:textId="77777777" w:rsidR="00DC7FE7" w:rsidRDefault="00DC7FE7" w:rsidP="00DC7FE7">
            <w:pPr>
              <w:spacing w:before="120"/>
              <w:rPr>
                <w:sz w:val="20"/>
                <w:szCs w:val="20"/>
              </w:rPr>
            </w:pPr>
            <w:r w:rsidRPr="00310D7E">
              <w:rPr>
                <w:sz w:val="20"/>
                <w:szCs w:val="20"/>
              </w:rPr>
              <w:t>3 publications de l’équipe d’accueil relatives au domaine (5 dernières années) :</w:t>
            </w:r>
          </w:p>
          <w:p w14:paraId="68ED0B44" w14:textId="77777777" w:rsidR="00DC7FE7" w:rsidRPr="00310D7E" w:rsidRDefault="00DC7FE7" w:rsidP="00DC7FE7">
            <w:pPr>
              <w:spacing w:before="120"/>
              <w:rPr>
                <w:sz w:val="20"/>
                <w:szCs w:val="20"/>
              </w:rPr>
            </w:pPr>
          </w:p>
          <w:p w14:paraId="68D62F61" w14:textId="77777777" w:rsidR="00DC7FE7" w:rsidRPr="007B5098" w:rsidRDefault="00DC7FE7" w:rsidP="00DC7FE7">
            <w:pPr>
              <w:numPr>
                <w:ilvl w:val="0"/>
                <w:numId w:val="2"/>
              </w:numPr>
              <w:spacing w:after="8" w:line="249" w:lineRule="auto"/>
              <w:ind w:right="52" w:hanging="360"/>
              <w:jc w:val="both"/>
              <w:rPr>
                <w:sz w:val="20"/>
                <w:szCs w:val="20"/>
                <w:lang w:val="pt-BR"/>
              </w:rPr>
            </w:pPr>
            <w:r w:rsidRPr="007B5098">
              <w:rPr>
                <w:b/>
                <w:sz w:val="20"/>
                <w:szCs w:val="20"/>
                <w:lang w:val="pt-BR"/>
              </w:rPr>
              <w:lastRenderedPageBreak/>
              <w:t>Oliveira-Mendes, BBR</w:t>
            </w:r>
            <w:r w:rsidRPr="007B5098">
              <w:rPr>
                <w:sz w:val="20"/>
                <w:szCs w:val="20"/>
                <w:lang w:val="pt-BR"/>
              </w:rPr>
              <w:t xml:space="preserve">; Feliciangeli, S; Ménard, M; Chatelain, F; Alameh, M; Montnach, J; Nicolas, </w:t>
            </w:r>
          </w:p>
          <w:p w14:paraId="7BE489DB" w14:textId="77777777" w:rsidR="00DC7FE7" w:rsidRDefault="00DC7FE7" w:rsidP="00DC7FE7">
            <w:pPr>
              <w:ind w:left="360" w:right="52"/>
              <w:rPr>
                <w:sz w:val="20"/>
                <w:szCs w:val="20"/>
              </w:rPr>
            </w:pPr>
            <w:r w:rsidRPr="007B5098">
              <w:rPr>
                <w:sz w:val="20"/>
                <w:szCs w:val="20"/>
                <w:lang w:val="en-US"/>
              </w:rPr>
              <w:t xml:space="preserve">S; Ollivier, B; Barc, J; </w:t>
            </w:r>
            <w:r w:rsidRPr="007B5098">
              <w:rPr>
                <w:b/>
                <w:sz w:val="20"/>
                <w:szCs w:val="20"/>
                <w:lang w:val="en-US"/>
              </w:rPr>
              <w:t>Baró, I</w:t>
            </w:r>
            <w:r w:rsidRPr="007B5098">
              <w:rPr>
                <w:sz w:val="20"/>
                <w:szCs w:val="20"/>
                <w:lang w:val="en-US"/>
              </w:rPr>
              <w:t xml:space="preserve">; Schott, JJ; Probst, V; Kyndt, F; Denjoy, I; Lesage, F; Loussouarn, G; De Waard, M. A standardized hERG phenotyping pipeline to evaluate KCNH2 genetic variant pathogenicity. </w:t>
            </w:r>
            <w:r w:rsidRPr="00310D7E">
              <w:rPr>
                <w:sz w:val="20"/>
                <w:szCs w:val="20"/>
              </w:rPr>
              <w:t>Clin Trans Med.;11:e609</w:t>
            </w:r>
            <w:r w:rsidR="00C37AD7">
              <w:rPr>
                <w:sz w:val="20"/>
                <w:szCs w:val="20"/>
              </w:rPr>
              <w:t xml:space="preserve"> (</w:t>
            </w:r>
            <w:r w:rsidR="00C37AD7" w:rsidRPr="00310D7E">
              <w:rPr>
                <w:sz w:val="20"/>
                <w:szCs w:val="20"/>
              </w:rPr>
              <w:t>2021</w:t>
            </w:r>
            <w:r w:rsidR="00C37AD7">
              <w:rPr>
                <w:sz w:val="20"/>
                <w:szCs w:val="20"/>
              </w:rPr>
              <w:t>)</w:t>
            </w:r>
            <w:r w:rsidRPr="00310D7E">
              <w:rPr>
                <w:sz w:val="20"/>
                <w:szCs w:val="20"/>
              </w:rPr>
              <w:t xml:space="preserve">.   </w:t>
            </w:r>
          </w:p>
          <w:p w14:paraId="09898CCD" w14:textId="77777777" w:rsidR="00DC7FE7" w:rsidRPr="00310D7E" w:rsidRDefault="00DC7FE7" w:rsidP="00DC7FE7">
            <w:pPr>
              <w:ind w:left="360" w:right="52"/>
              <w:rPr>
                <w:sz w:val="20"/>
                <w:szCs w:val="20"/>
              </w:rPr>
            </w:pPr>
          </w:p>
          <w:p w14:paraId="7CEB39DC" w14:textId="77777777" w:rsidR="00C37AD7" w:rsidRPr="00C37AD7" w:rsidRDefault="00DC7FE7" w:rsidP="00C37AD7">
            <w:pPr>
              <w:numPr>
                <w:ilvl w:val="0"/>
                <w:numId w:val="2"/>
              </w:numPr>
              <w:spacing w:after="233" w:line="249" w:lineRule="auto"/>
              <w:ind w:right="52" w:hanging="360"/>
              <w:jc w:val="both"/>
              <w:rPr>
                <w:i/>
                <w:sz w:val="20"/>
                <w:szCs w:val="20"/>
                <w:lang w:val="en-US"/>
              </w:rPr>
            </w:pPr>
            <w:r w:rsidRPr="007B5098">
              <w:rPr>
                <w:sz w:val="20"/>
                <w:szCs w:val="20"/>
                <w:lang w:val="en-US"/>
              </w:rPr>
              <w:t xml:space="preserve">De Waard, S; Montnach, J; </w:t>
            </w:r>
            <w:r w:rsidRPr="007B5098">
              <w:rPr>
                <w:b/>
                <w:sz w:val="20"/>
                <w:szCs w:val="20"/>
                <w:lang w:val="en-US"/>
              </w:rPr>
              <w:t>Ribeiro, B</w:t>
            </w:r>
            <w:r w:rsidRPr="007B5098">
              <w:rPr>
                <w:sz w:val="20"/>
                <w:szCs w:val="20"/>
                <w:lang w:val="en-US"/>
              </w:rPr>
              <w:t xml:space="preserve">; Nicolas, S; Forest, V; Charpentier, F; Mangoni, ME; Gaborit, N; Ronjat, M; Loussouarn, G; Lemarchand, P; De Waard, M. Functional Impact of BeKm-1, a HighAffinity hERG Blocker, on Cardiomyocytes Derived from Human-Induced Pluripotent Stem Cells. </w:t>
            </w:r>
            <w:r w:rsidRPr="00C37AD7">
              <w:rPr>
                <w:sz w:val="20"/>
                <w:szCs w:val="20"/>
              </w:rPr>
              <w:t>Int J Mol Sci.</w:t>
            </w:r>
            <w:r w:rsidR="00C37AD7">
              <w:rPr>
                <w:sz w:val="20"/>
                <w:szCs w:val="20"/>
              </w:rPr>
              <w:t>,</w:t>
            </w:r>
            <w:r w:rsidRPr="00C37AD7">
              <w:rPr>
                <w:sz w:val="20"/>
                <w:szCs w:val="20"/>
              </w:rPr>
              <w:t xml:space="preserve"> Sep 28;21(19):7167</w:t>
            </w:r>
            <w:r w:rsidR="00C37AD7">
              <w:rPr>
                <w:sz w:val="20"/>
                <w:szCs w:val="20"/>
              </w:rPr>
              <w:t xml:space="preserve"> (</w:t>
            </w:r>
            <w:r w:rsidR="00C37AD7" w:rsidRPr="00C37AD7">
              <w:rPr>
                <w:sz w:val="20"/>
                <w:szCs w:val="20"/>
              </w:rPr>
              <w:t>2020</w:t>
            </w:r>
            <w:r w:rsidR="00C37AD7">
              <w:rPr>
                <w:sz w:val="20"/>
                <w:szCs w:val="20"/>
              </w:rPr>
              <w:t>)</w:t>
            </w:r>
            <w:r w:rsidRPr="00C37AD7">
              <w:rPr>
                <w:sz w:val="20"/>
                <w:szCs w:val="20"/>
              </w:rPr>
              <w:t xml:space="preserve">. </w:t>
            </w:r>
          </w:p>
          <w:p w14:paraId="67179F43" w14:textId="77777777" w:rsidR="00D26936" w:rsidRPr="00C37AD7" w:rsidRDefault="00D26936" w:rsidP="00C37AD7">
            <w:pPr>
              <w:numPr>
                <w:ilvl w:val="0"/>
                <w:numId w:val="2"/>
              </w:numPr>
              <w:spacing w:after="233" w:line="249" w:lineRule="auto"/>
              <w:ind w:right="52" w:hanging="360"/>
              <w:jc w:val="both"/>
              <w:rPr>
                <w:sz w:val="20"/>
                <w:szCs w:val="20"/>
                <w:lang w:val="en-US"/>
              </w:rPr>
            </w:pPr>
            <w:r w:rsidRPr="00C37AD7">
              <w:rPr>
                <w:sz w:val="20"/>
                <w:szCs w:val="20"/>
                <w:lang w:val="en-US"/>
              </w:rPr>
              <w:t>A. Lesage, M. Lorenzini, S. Burel, M. Sarlandie, F. Bibault, C. Lindskog, D. Maloney, J. R. Silva, R. R. Townsend,</w:t>
            </w:r>
            <w:r w:rsidR="00C37AD7" w:rsidRPr="00C37AD7">
              <w:rPr>
                <w:sz w:val="20"/>
                <w:szCs w:val="20"/>
                <w:lang w:val="en-US"/>
              </w:rPr>
              <w:t xml:space="preserve"> </w:t>
            </w:r>
            <w:r w:rsidRPr="00C37AD7">
              <w:rPr>
                <w:sz w:val="20"/>
                <w:szCs w:val="20"/>
                <w:lang w:val="en-US"/>
              </w:rPr>
              <w:t xml:space="preserve">J. M. Nerbonne, </w:t>
            </w:r>
            <w:r w:rsidRPr="00C37AD7">
              <w:rPr>
                <w:b/>
                <w:sz w:val="20"/>
                <w:szCs w:val="20"/>
                <w:lang w:val="en-US"/>
              </w:rPr>
              <w:t>C. Marionneau</w:t>
            </w:r>
            <w:r w:rsidRPr="00C37AD7">
              <w:rPr>
                <w:sz w:val="20"/>
                <w:szCs w:val="20"/>
                <w:lang w:val="en-US"/>
              </w:rPr>
              <w:t>, Determinants of iFGF13-mediated regulation of myocardial voltage-gated sodium</w:t>
            </w:r>
            <w:r w:rsidR="00C37AD7" w:rsidRPr="00C37AD7">
              <w:rPr>
                <w:sz w:val="20"/>
                <w:szCs w:val="20"/>
                <w:lang w:val="en-US"/>
              </w:rPr>
              <w:t xml:space="preserve"> </w:t>
            </w:r>
            <w:r w:rsidRPr="00C37AD7">
              <w:rPr>
                <w:sz w:val="20"/>
                <w:szCs w:val="20"/>
                <w:lang w:val="en-US"/>
              </w:rPr>
              <w:t>(NaV) channels in mouse. J Gen Physiol 155, e202213293 (2023).</w:t>
            </w:r>
          </w:p>
          <w:p w14:paraId="1045AE60" w14:textId="77777777" w:rsidR="00DC7FE7" w:rsidRPr="00D26936" w:rsidRDefault="00DC7FE7" w:rsidP="00DC7FE7">
            <w:pPr>
              <w:spacing w:before="120"/>
              <w:rPr>
                <w:sz w:val="20"/>
                <w:szCs w:val="20"/>
                <w:lang w:val="en-US"/>
              </w:rPr>
            </w:pPr>
          </w:p>
          <w:p w14:paraId="5C3F54F7" w14:textId="77777777" w:rsidR="00DC7FE7" w:rsidRPr="00D26936" w:rsidRDefault="00DC7FE7" w:rsidP="00DC7FE7">
            <w:pPr>
              <w:spacing w:before="120"/>
              <w:rPr>
                <w:sz w:val="20"/>
                <w:szCs w:val="20"/>
                <w:lang w:val="en-US"/>
              </w:rPr>
            </w:pPr>
          </w:p>
        </w:tc>
      </w:tr>
      <w:tr w:rsidR="00DC7FE7" w:rsidRPr="00BD3619" w14:paraId="3D4AF3C7" w14:textId="77777777" w:rsidTr="00BD3619">
        <w:tc>
          <w:tcPr>
            <w:tcW w:w="10490" w:type="dxa"/>
            <w:gridSpan w:val="3"/>
            <w:shd w:val="clear" w:color="auto" w:fill="auto"/>
            <w:vAlign w:val="center"/>
          </w:tcPr>
          <w:p w14:paraId="41AD82F7" w14:textId="77777777" w:rsidR="00DC7FE7" w:rsidRPr="00296D7B" w:rsidRDefault="00DC7FE7" w:rsidP="00DC7FE7">
            <w:pPr>
              <w:spacing w:before="120"/>
              <w:rPr>
                <w:rFonts w:ascii="Arial" w:hAnsi="Arial" w:cs="Arial"/>
                <w:bCs/>
                <w:sz w:val="16"/>
                <w:szCs w:val="16"/>
                <w:lang w:val="en-US"/>
              </w:rPr>
            </w:pPr>
            <w:r w:rsidRPr="007B5098">
              <w:rPr>
                <w:rFonts w:ascii="Arial" w:hAnsi="Arial" w:cs="Arial"/>
                <w:bCs/>
                <w:sz w:val="16"/>
                <w:szCs w:val="16"/>
                <w:u w:val="single"/>
                <w:lang w:val="en-US"/>
              </w:rPr>
              <w:lastRenderedPageBreak/>
              <w:t>Collaborations nationales et internationales</w:t>
            </w:r>
            <w:r w:rsidRPr="007B5098">
              <w:rPr>
                <w:rFonts w:ascii="Arial" w:hAnsi="Arial" w:cs="Arial"/>
                <w:bCs/>
                <w:sz w:val="16"/>
                <w:szCs w:val="16"/>
                <w:lang w:val="en-US"/>
              </w:rPr>
              <w:t> :</w:t>
            </w:r>
          </w:p>
          <w:p w14:paraId="388610AD" w14:textId="77777777" w:rsidR="00296D7B" w:rsidRPr="007B5098" w:rsidRDefault="00296D7B" w:rsidP="00296D7B">
            <w:pPr>
              <w:pStyle w:val="Paragraphedeliste"/>
              <w:ind w:left="0"/>
              <w:jc w:val="both"/>
              <w:rPr>
                <w:sz w:val="20"/>
                <w:szCs w:val="20"/>
                <w:lang w:val="en-CA"/>
              </w:rPr>
            </w:pPr>
            <w:r w:rsidRPr="007B5098">
              <w:rPr>
                <w:bCs/>
                <w:sz w:val="20"/>
                <w:szCs w:val="20"/>
                <w:lang w:val="en-CA"/>
              </w:rPr>
              <w:t xml:space="preserve">- </w:t>
            </w:r>
            <w:r w:rsidRPr="007B5098">
              <w:rPr>
                <w:sz w:val="20"/>
                <w:szCs w:val="20"/>
                <w:lang w:val="en-CA"/>
              </w:rPr>
              <w:t>Reid Townsend (</w:t>
            </w:r>
            <w:r w:rsidRPr="007B5098">
              <w:rPr>
                <w:i/>
                <w:sz w:val="20"/>
                <w:szCs w:val="20"/>
                <w:lang w:val="en-CA"/>
              </w:rPr>
              <w:t>Washington University Medical School, Saint Louis, USA</w:t>
            </w:r>
            <w:r w:rsidRPr="007B5098">
              <w:rPr>
                <w:sz w:val="20"/>
                <w:szCs w:val="20"/>
                <w:lang w:val="en-CA"/>
              </w:rPr>
              <w:t>)</w:t>
            </w:r>
          </w:p>
          <w:p w14:paraId="0A3A999D" w14:textId="77777777" w:rsidR="00296D7B" w:rsidRPr="007B5098" w:rsidRDefault="00296D7B" w:rsidP="00296D7B">
            <w:pPr>
              <w:pStyle w:val="Paragraphedeliste"/>
              <w:ind w:left="0"/>
              <w:jc w:val="both"/>
              <w:rPr>
                <w:sz w:val="20"/>
                <w:szCs w:val="20"/>
                <w:lang w:val="en-US"/>
              </w:rPr>
            </w:pPr>
            <w:r w:rsidRPr="007B5098">
              <w:rPr>
                <w:sz w:val="20"/>
                <w:szCs w:val="20"/>
                <w:lang w:val="en-US"/>
              </w:rPr>
              <w:t>- Jeanne Nerbonne (</w:t>
            </w:r>
            <w:r w:rsidRPr="007B5098">
              <w:rPr>
                <w:i/>
                <w:sz w:val="20"/>
                <w:szCs w:val="20"/>
                <w:lang w:val="en-US"/>
              </w:rPr>
              <w:t>Washington University Medical School, Saint Louis, USA</w:t>
            </w:r>
            <w:r w:rsidRPr="007B5098">
              <w:rPr>
                <w:sz w:val="20"/>
                <w:szCs w:val="20"/>
                <w:lang w:val="en-US"/>
              </w:rPr>
              <w:t>)</w:t>
            </w:r>
          </w:p>
          <w:p w14:paraId="0523CA92" w14:textId="77777777" w:rsidR="00296D7B" w:rsidRPr="007B5098" w:rsidRDefault="00296D7B" w:rsidP="00296D7B">
            <w:pPr>
              <w:pStyle w:val="Paragraphedeliste"/>
              <w:ind w:left="0"/>
              <w:jc w:val="both"/>
              <w:rPr>
                <w:sz w:val="20"/>
                <w:szCs w:val="20"/>
                <w:lang w:val="en-US"/>
              </w:rPr>
            </w:pPr>
            <w:r w:rsidRPr="007B5098">
              <w:rPr>
                <w:sz w:val="20"/>
                <w:szCs w:val="20"/>
                <w:lang w:val="en-US"/>
              </w:rPr>
              <w:t>- Jonathan Silva (</w:t>
            </w:r>
            <w:r w:rsidRPr="007B5098">
              <w:rPr>
                <w:i/>
                <w:sz w:val="20"/>
                <w:szCs w:val="20"/>
                <w:lang w:val="en-US"/>
              </w:rPr>
              <w:t>Washington University in Saint Louis, MO, USA</w:t>
            </w:r>
            <w:r w:rsidRPr="007B5098">
              <w:rPr>
                <w:sz w:val="20"/>
                <w:szCs w:val="20"/>
                <w:lang w:val="en-US"/>
              </w:rPr>
              <w:t>)</w:t>
            </w:r>
          </w:p>
          <w:p w14:paraId="491EEECC" w14:textId="77777777" w:rsidR="00296D7B" w:rsidRPr="007B5098" w:rsidRDefault="00296D7B" w:rsidP="00296D7B">
            <w:pPr>
              <w:pStyle w:val="Paragraphedeliste"/>
              <w:ind w:left="0"/>
              <w:jc w:val="both"/>
              <w:rPr>
                <w:sz w:val="20"/>
                <w:szCs w:val="20"/>
                <w:lang w:val="en-CA"/>
              </w:rPr>
            </w:pPr>
            <w:r w:rsidRPr="007B5098">
              <w:rPr>
                <w:sz w:val="20"/>
                <w:szCs w:val="20"/>
                <w:lang w:val="en-US"/>
              </w:rPr>
              <w:t>- Isabelle Deschênes (</w:t>
            </w:r>
            <w:r w:rsidRPr="007B5098">
              <w:rPr>
                <w:i/>
                <w:sz w:val="20"/>
                <w:szCs w:val="20"/>
                <w:lang w:val="en-CA"/>
              </w:rPr>
              <w:t>The Ohio State University, Columbus, OH, USA</w:t>
            </w:r>
            <w:r w:rsidRPr="007B5098">
              <w:rPr>
                <w:sz w:val="20"/>
                <w:szCs w:val="20"/>
                <w:lang w:val="en-CA"/>
              </w:rPr>
              <w:t>)</w:t>
            </w:r>
          </w:p>
          <w:p w14:paraId="42BBE4F2" w14:textId="77777777" w:rsidR="00DC7FE7" w:rsidRPr="00296D7B" w:rsidRDefault="00296D7B" w:rsidP="00296D7B">
            <w:pPr>
              <w:pStyle w:val="Paragraphedeliste"/>
              <w:ind w:left="0"/>
              <w:jc w:val="both"/>
              <w:rPr>
                <w:rFonts w:ascii="Arial" w:hAnsi="Arial" w:cs="Arial"/>
                <w:sz w:val="16"/>
                <w:szCs w:val="16"/>
              </w:rPr>
            </w:pPr>
            <w:r w:rsidRPr="007B5098">
              <w:rPr>
                <w:sz w:val="20"/>
                <w:szCs w:val="20"/>
              </w:rPr>
              <w:t>- Jean-Sébastien Rougier et Hugues Abriel (</w:t>
            </w:r>
            <w:r w:rsidRPr="007B5098">
              <w:rPr>
                <w:i/>
                <w:sz w:val="20"/>
                <w:szCs w:val="20"/>
              </w:rPr>
              <w:t>University of Bern</w:t>
            </w:r>
            <w:r w:rsidRPr="007B5098">
              <w:rPr>
                <w:sz w:val="20"/>
                <w:szCs w:val="20"/>
              </w:rPr>
              <w:t>, Suisse)</w:t>
            </w:r>
          </w:p>
        </w:tc>
      </w:tr>
    </w:tbl>
    <w:p w14:paraId="7F76E74A" w14:textId="77777777" w:rsidR="00314ECA" w:rsidRPr="00280FA6" w:rsidRDefault="00314ECA" w:rsidP="00255FBC">
      <w:pPr>
        <w:ind w:left="-567"/>
        <w:rPr>
          <w:rFonts w:ascii="Arial" w:hAnsi="Arial" w:cs="Arial"/>
          <w:sz w:val="12"/>
          <w:szCs w:val="12"/>
        </w:rPr>
      </w:pPr>
    </w:p>
    <w:sectPr w:rsidR="00314ECA" w:rsidRPr="00280FA6" w:rsidSect="007759D2">
      <w:headerReference w:type="default" r:id="rId7"/>
      <w:pgSz w:w="11906" w:h="16838"/>
      <w:pgMar w:top="1417" w:right="707" w:bottom="1417"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317C" w14:textId="77777777" w:rsidR="007759D2" w:rsidRDefault="007759D2" w:rsidP="002F485E">
      <w:r>
        <w:separator/>
      </w:r>
    </w:p>
  </w:endnote>
  <w:endnote w:type="continuationSeparator" w:id="0">
    <w:p w14:paraId="5B22F53F" w14:textId="77777777" w:rsidR="007759D2" w:rsidRDefault="007759D2" w:rsidP="002F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4B52" w14:textId="77777777" w:rsidR="007759D2" w:rsidRDefault="007759D2" w:rsidP="002F485E">
      <w:r>
        <w:separator/>
      </w:r>
    </w:p>
  </w:footnote>
  <w:footnote w:type="continuationSeparator" w:id="0">
    <w:p w14:paraId="07B4B483" w14:textId="77777777" w:rsidR="007759D2" w:rsidRDefault="007759D2" w:rsidP="002F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AB05" w14:textId="77777777" w:rsidR="002F485E" w:rsidRDefault="002F485E" w:rsidP="00620982">
    <w:pPr>
      <w:pStyle w:val="En-tte"/>
      <w:ind w:left="-567"/>
    </w:pPr>
  </w:p>
  <w:tbl>
    <w:tblPr>
      <w:tblW w:w="10456" w:type="dxa"/>
      <w:tblInd w:w="-601" w:type="dxa"/>
      <w:tblLook w:val="04A0" w:firstRow="1" w:lastRow="0" w:firstColumn="1" w:lastColumn="0" w:noHBand="0" w:noVBand="1"/>
    </w:tblPr>
    <w:tblGrid>
      <w:gridCol w:w="4626"/>
      <w:gridCol w:w="5830"/>
    </w:tblGrid>
    <w:tr w:rsidR="006311D6" w:rsidRPr="002D444B" w14:paraId="31C80506" w14:textId="77777777" w:rsidTr="002D444B">
      <w:trPr>
        <w:trHeight w:val="1231"/>
      </w:trPr>
      <w:tc>
        <w:tcPr>
          <w:tcW w:w="4606" w:type="dxa"/>
          <w:shd w:val="clear" w:color="auto" w:fill="auto"/>
        </w:tcPr>
        <w:p w14:paraId="200A8482" w14:textId="77777777" w:rsidR="006311D6" w:rsidRDefault="00296D7B" w:rsidP="002D444B">
          <w:pPr>
            <w:pStyle w:val="En-tte"/>
          </w:pPr>
          <w:r>
            <w:rPr>
              <w:noProof/>
            </w:rPr>
            <w:drawing>
              <wp:inline distT="0" distB="0" distL="0" distR="0" wp14:anchorId="1EDCC674" wp14:editId="16B606D7">
                <wp:extent cx="2800350" cy="800100"/>
                <wp:effectExtent l="0" t="0" r="0" b="0"/>
                <wp:docPr id="1" name="Image 1" descr="Logos_bs_P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bs_P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800100"/>
                        </a:xfrm>
                        <a:prstGeom prst="rect">
                          <a:avLst/>
                        </a:prstGeom>
                        <a:noFill/>
                        <a:ln>
                          <a:noFill/>
                        </a:ln>
                      </pic:spPr>
                    </pic:pic>
                  </a:graphicData>
                </a:graphic>
              </wp:inline>
            </w:drawing>
          </w:r>
        </w:p>
      </w:tc>
      <w:tc>
        <w:tcPr>
          <w:tcW w:w="5850" w:type="dxa"/>
          <w:shd w:val="clear" w:color="auto" w:fill="auto"/>
        </w:tcPr>
        <w:p w14:paraId="4E8A30B7" w14:textId="77777777" w:rsidR="006311D6" w:rsidRPr="002D444B" w:rsidRDefault="006311D6" w:rsidP="002D444B">
          <w:pPr>
            <w:pStyle w:val="En-tte"/>
            <w:jc w:val="right"/>
            <w:rPr>
              <w:rFonts w:ascii="Arial" w:hAnsi="Arial" w:cs="Arial"/>
              <w:sz w:val="20"/>
              <w:szCs w:val="20"/>
            </w:rPr>
          </w:pPr>
        </w:p>
        <w:p w14:paraId="267BACE1" w14:textId="77777777" w:rsidR="00280FA6" w:rsidRPr="002D444B" w:rsidRDefault="00280FA6" w:rsidP="002D444B">
          <w:pPr>
            <w:pStyle w:val="En-tte"/>
            <w:jc w:val="right"/>
            <w:rPr>
              <w:rFonts w:ascii="Arial" w:hAnsi="Arial" w:cs="Arial"/>
              <w:sz w:val="20"/>
              <w:szCs w:val="20"/>
            </w:rPr>
          </w:pPr>
        </w:p>
        <w:p w14:paraId="71A409C1" w14:textId="77777777" w:rsidR="006311D6" w:rsidRPr="002D444B" w:rsidRDefault="006311D6" w:rsidP="002D444B">
          <w:pPr>
            <w:pStyle w:val="En-tte"/>
            <w:jc w:val="right"/>
            <w:rPr>
              <w:rFonts w:ascii="Arial" w:hAnsi="Arial" w:cs="Arial"/>
              <w:sz w:val="22"/>
              <w:szCs w:val="22"/>
            </w:rPr>
          </w:pPr>
          <w:r w:rsidRPr="002D444B">
            <w:rPr>
              <w:rFonts w:ascii="Arial" w:hAnsi="Arial" w:cs="Arial"/>
              <w:sz w:val="22"/>
              <w:szCs w:val="22"/>
            </w:rPr>
            <w:t>Année 20</w:t>
          </w:r>
          <w:r w:rsidR="00E8671D">
            <w:rPr>
              <w:rFonts w:ascii="Arial" w:hAnsi="Arial" w:cs="Arial"/>
              <w:sz w:val="22"/>
              <w:szCs w:val="22"/>
            </w:rPr>
            <w:t>24</w:t>
          </w:r>
          <w:r w:rsidRPr="002D444B">
            <w:rPr>
              <w:rFonts w:ascii="Arial" w:hAnsi="Arial" w:cs="Arial"/>
              <w:sz w:val="22"/>
              <w:szCs w:val="22"/>
            </w:rPr>
            <w:t xml:space="preserve">  /20</w:t>
          </w:r>
          <w:r w:rsidR="00E8671D">
            <w:rPr>
              <w:rFonts w:ascii="Arial" w:hAnsi="Arial" w:cs="Arial"/>
              <w:sz w:val="22"/>
              <w:szCs w:val="22"/>
            </w:rPr>
            <w:t>25</w:t>
          </w:r>
          <w:r w:rsidRPr="002D444B">
            <w:rPr>
              <w:rFonts w:ascii="Arial" w:hAnsi="Arial" w:cs="Arial"/>
              <w:sz w:val="22"/>
              <w:szCs w:val="22"/>
            </w:rPr>
            <w:t xml:space="preserve">  </w:t>
          </w:r>
        </w:p>
        <w:p w14:paraId="3D171F09" w14:textId="77777777" w:rsidR="006311D6" w:rsidRPr="002D444B" w:rsidRDefault="006311D6" w:rsidP="002D444B">
          <w:pPr>
            <w:pStyle w:val="En-tte"/>
            <w:jc w:val="right"/>
            <w:rPr>
              <w:rFonts w:ascii="Arial" w:hAnsi="Arial" w:cs="Arial"/>
              <w:sz w:val="20"/>
              <w:szCs w:val="20"/>
            </w:rPr>
          </w:pPr>
        </w:p>
        <w:p w14:paraId="3B0E61BB" w14:textId="77777777" w:rsidR="006311D6" w:rsidRPr="002D444B" w:rsidRDefault="006311D6" w:rsidP="002D444B">
          <w:pPr>
            <w:pStyle w:val="En-tte"/>
            <w:rPr>
              <w:rFonts w:ascii="Arial" w:hAnsi="Arial" w:cs="Arial"/>
            </w:rPr>
          </w:pPr>
        </w:p>
      </w:tc>
    </w:tr>
  </w:tbl>
  <w:p w14:paraId="61757299" w14:textId="77777777" w:rsidR="00D03BC5" w:rsidRDefault="00D03BC5" w:rsidP="00D03BC5">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FEF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D07FE"/>
    <w:multiLevelType w:val="hybridMultilevel"/>
    <w:tmpl w:val="930CE1B4"/>
    <w:lvl w:ilvl="0" w:tplc="73F628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3E56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6E3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AF9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5AAE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9C07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843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27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162A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E04C3A"/>
    <w:multiLevelType w:val="hybridMultilevel"/>
    <w:tmpl w:val="930CE1B4"/>
    <w:lvl w:ilvl="0" w:tplc="73F628D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3E56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6E3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5AF9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5AAE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9C07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843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27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162A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847252123">
    <w:abstractNumId w:val="0"/>
  </w:num>
  <w:num w:numId="2" w16cid:durableId="1844397579">
    <w:abstractNumId w:val="1"/>
  </w:num>
  <w:num w:numId="3" w16cid:durableId="24137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CA"/>
    <w:rsid w:val="000100FE"/>
    <w:rsid w:val="00016EF7"/>
    <w:rsid w:val="000279A0"/>
    <w:rsid w:val="00063CCD"/>
    <w:rsid w:val="00067851"/>
    <w:rsid w:val="000F03F3"/>
    <w:rsid w:val="00100054"/>
    <w:rsid w:val="00166F3D"/>
    <w:rsid w:val="00196E15"/>
    <w:rsid w:val="001C0805"/>
    <w:rsid w:val="001F1918"/>
    <w:rsid w:val="002120CF"/>
    <w:rsid w:val="00227FA9"/>
    <w:rsid w:val="002373FF"/>
    <w:rsid w:val="00254203"/>
    <w:rsid w:val="00255FBC"/>
    <w:rsid w:val="00273FA3"/>
    <w:rsid w:val="00280FA6"/>
    <w:rsid w:val="00285B94"/>
    <w:rsid w:val="00290354"/>
    <w:rsid w:val="00296D7B"/>
    <w:rsid w:val="002A3785"/>
    <w:rsid w:val="002A54BD"/>
    <w:rsid w:val="002A6B26"/>
    <w:rsid w:val="002D1404"/>
    <w:rsid w:val="002D444B"/>
    <w:rsid w:val="002D57BE"/>
    <w:rsid w:val="002F2B4C"/>
    <w:rsid w:val="002F485E"/>
    <w:rsid w:val="00310D7E"/>
    <w:rsid w:val="00314ECA"/>
    <w:rsid w:val="00326C26"/>
    <w:rsid w:val="00335C6E"/>
    <w:rsid w:val="003560A7"/>
    <w:rsid w:val="00394485"/>
    <w:rsid w:val="004B62BF"/>
    <w:rsid w:val="004D5F17"/>
    <w:rsid w:val="004E0519"/>
    <w:rsid w:val="005631C7"/>
    <w:rsid w:val="005A1126"/>
    <w:rsid w:val="005D088D"/>
    <w:rsid w:val="00600ADA"/>
    <w:rsid w:val="00611414"/>
    <w:rsid w:val="00620982"/>
    <w:rsid w:val="0062153F"/>
    <w:rsid w:val="00625655"/>
    <w:rsid w:val="00626E8D"/>
    <w:rsid w:val="006311D6"/>
    <w:rsid w:val="006D2853"/>
    <w:rsid w:val="00736AC1"/>
    <w:rsid w:val="007729D4"/>
    <w:rsid w:val="007759D2"/>
    <w:rsid w:val="0077664E"/>
    <w:rsid w:val="007B5098"/>
    <w:rsid w:val="007C7744"/>
    <w:rsid w:val="007D1BD7"/>
    <w:rsid w:val="007D64E9"/>
    <w:rsid w:val="0081191F"/>
    <w:rsid w:val="00836C4E"/>
    <w:rsid w:val="008D328D"/>
    <w:rsid w:val="008D3C86"/>
    <w:rsid w:val="008E068D"/>
    <w:rsid w:val="008F45A3"/>
    <w:rsid w:val="008F6FAA"/>
    <w:rsid w:val="009464A0"/>
    <w:rsid w:val="00955DEE"/>
    <w:rsid w:val="00981851"/>
    <w:rsid w:val="00992B8A"/>
    <w:rsid w:val="009A0982"/>
    <w:rsid w:val="009E0E25"/>
    <w:rsid w:val="00A066DC"/>
    <w:rsid w:val="00A25482"/>
    <w:rsid w:val="00A43D3E"/>
    <w:rsid w:val="00A94C0F"/>
    <w:rsid w:val="00B24DAB"/>
    <w:rsid w:val="00B76AFA"/>
    <w:rsid w:val="00BC07F8"/>
    <w:rsid w:val="00BD3619"/>
    <w:rsid w:val="00C16255"/>
    <w:rsid w:val="00C21B78"/>
    <w:rsid w:val="00C31D90"/>
    <w:rsid w:val="00C35073"/>
    <w:rsid w:val="00C35D92"/>
    <w:rsid w:val="00C37AD7"/>
    <w:rsid w:val="00C741CF"/>
    <w:rsid w:val="00C75198"/>
    <w:rsid w:val="00C80FA5"/>
    <w:rsid w:val="00D03A50"/>
    <w:rsid w:val="00D03BC5"/>
    <w:rsid w:val="00D26936"/>
    <w:rsid w:val="00D31D5D"/>
    <w:rsid w:val="00D87CD7"/>
    <w:rsid w:val="00DA7651"/>
    <w:rsid w:val="00DB17EF"/>
    <w:rsid w:val="00DC7FE7"/>
    <w:rsid w:val="00DF3F39"/>
    <w:rsid w:val="00E31585"/>
    <w:rsid w:val="00E76229"/>
    <w:rsid w:val="00E8671D"/>
    <w:rsid w:val="00E9670C"/>
    <w:rsid w:val="00EE1E2A"/>
    <w:rsid w:val="00F03F42"/>
    <w:rsid w:val="00F12861"/>
    <w:rsid w:val="00F52165"/>
    <w:rsid w:val="00F52382"/>
    <w:rsid w:val="00F55C89"/>
    <w:rsid w:val="00F674CE"/>
    <w:rsid w:val="00F7100D"/>
    <w:rsid w:val="00F82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ED33A"/>
  <w15:chartTrackingRefBased/>
  <w15:docId w15:val="{645F5731-B263-4451-900B-746AAF9D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1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485E"/>
    <w:pPr>
      <w:tabs>
        <w:tab w:val="center" w:pos="4536"/>
        <w:tab w:val="right" w:pos="9072"/>
      </w:tabs>
    </w:pPr>
  </w:style>
  <w:style w:type="character" w:customStyle="1" w:styleId="En-tteCar">
    <w:name w:val="En-tête Car"/>
    <w:link w:val="En-tte"/>
    <w:uiPriority w:val="99"/>
    <w:rsid w:val="002F485E"/>
    <w:rPr>
      <w:sz w:val="24"/>
      <w:szCs w:val="24"/>
    </w:rPr>
  </w:style>
  <w:style w:type="paragraph" w:styleId="Pieddepage">
    <w:name w:val="footer"/>
    <w:basedOn w:val="Normal"/>
    <w:link w:val="PieddepageCar"/>
    <w:uiPriority w:val="99"/>
    <w:unhideWhenUsed/>
    <w:rsid w:val="002F485E"/>
    <w:pPr>
      <w:tabs>
        <w:tab w:val="center" w:pos="4536"/>
        <w:tab w:val="right" w:pos="9072"/>
      </w:tabs>
    </w:pPr>
  </w:style>
  <w:style w:type="character" w:customStyle="1" w:styleId="PieddepageCar">
    <w:name w:val="Pied de page Car"/>
    <w:link w:val="Pieddepage"/>
    <w:uiPriority w:val="99"/>
    <w:rsid w:val="002F485E"/>
    <w:rPr>
      <w:sz w:val="24"/>
      <w:szCs w:val="24"/>
    </w:rPr>
  </w:style>
  <w:style w:type="paragraph" w:customStyle="1" w:styleId="Default">
    <w:name w:val="Default"/>
    <w:rsid w:val="00981851"/>
    <w:pPr>
      <w:autoSpaceDE w:val="0"/>
      <w:autoSpaceDN w:val="0"/>
      <w:adjustRightInd w:val="0"/>
    </w:pPr>
    <w:rPr>
      <w:rFonts w:ascii="Arial" w:hAnsi="Arial" w:cs="Arial"/>
      <w:color w:val="000000"/>
      <w:sz w:val="24"/>
      <w:szCs w:val="24"/>
    </w:rPr>
  </w:style>
  <w:style w:type="paragraph" w:styleId="Paragraphedeliste">
    <w:name w:val="List Paragraph"/>
    <w:basedOn w:val="Normal"/>
    <w:link w:val="ParagraphedelisteCar"/>
    <w:uiPriority w:val="34"/>
    <w:qFormat/>
    <w:rsid w:val="00296D7B"/>
    <w:pPr>
      <w:ind w:left="720"/>
      <w:contextualSpacing/>
    </w:pPr>
  </w:style>
  <w:style w:type="character" w:customStyle="1" w:styleId="ParagraphedelisteCar">
    <w:name w:val="Paragraphe de liste Car"/>
    <w:link w:val="Paragraphedeliste"/>
    <w:uiPriority w:val="34"/>
    <w:rsid w:val="00296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5312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Profil N° (à remplir par VAS)                                                FINANCEMENT Demandé</vt:lpstr>
    </vt:vector>
  </TitlesOfParts>
  <Company>Université de Rennes 1</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N° (à remplir par VAS)                                                FINANCEMENT Demandé</dc:title>
  <dc:subject/>
  <dc:creator>bmssassi</dc:creator>
  <cp:keywords/>
  <dc:description/>
  <cp:lastModifiedBy>Stephanie Chatel</cp:lastModifiedBy>
  <cp:revision>5</cp:revision>
  <cp:lastPrinted>2018-01-15T11:39:00Z</cp:lastPrinted>
  <dcterms:created xsi:type="dcterms:W3CDTF">2024-03-27T08:26:00Z</dcterms:created>
  <dcterms:modified xsi:type="dcterms:W3CDTF">2024-03-28T08:46:00Z</dcterms:modified>
</cp:coreProperties>
</file>